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Arial" w:hAnsi="Arial" w:cs="Arial" w:eastAsia="Arial"/>
          <w:color w:val="auto"/>
          <w:spacing w:val="0"/>
          <w:position w:val="0"/>
          <w:sz w:val="22"/>
          <w:shd w:fill="auto" w:val="clear"/>
        </w:rPr>
      </w:pPr>
      <w:r>
        <w:object w:dxaOrig="1440" w:dyaOrig="1828">
          <v:rect xmlns:o="urn:schemas-microsoft-com:office:office" xmlns:v="urn:schemas-microsoft-com:vml" id="rectole0000000000" style="width:72.000000pt;height:91.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120" w:after="60" w:line="240"/>
        <w:ind w:right="0" w:left="0" w:firstLine="0"/>
        <w:jc w:val="center"/>
        <w:rPr>
          <w:rFonts w:ascii="Arial" w:hAnsi="Arial" w:cs="Arial" w:eastAsia="Arial"/>
          <w:color w:val="auto"/>
          <w:spacing w:val="0"/>
          <w:position w:val="0"/>
          <w:sz w:val="22"/>
          <w:shd w:fill="auto" w:val="clear"/>
        </w:rPr>
      </w:pPr>
      <w:r>
        <w:rPr>
          <w:rFonts w:ascii="Georgia" w:hAnsi="Georgia" w:cs="Georgia" w:eastAsia="Georgia"/>
          <w:b/>
          <w:color w:val="0D1B2A"/>
          <w:spacing w:val="0"/>
          <w:position w:val="0"/>
          <w:sz w:val="48"/>
          <w:shd w:fill="auto" w:val="clear"/>
        </w:rPr>
        <w:t xml:space="preserve">KeyNobles</w:t>
      </w:r>
    </w:p>
    <w:p>
      <w:pPr>
        <w:spacing w:before="0" w:after="40" w:line="240"/>
        <w:ind w:right="0" w:left="0" w:firstLine="0"/>
        <w:jc w:val="center"/>
        <w:rPr>
          <w:rFonts w:ascii="Arial" w:hAnsi="Arial" w:cs="Arial" w:eastAsia="Arial"/>
          <w:color w:val="auto"/>
          <w:spacing w:val="0"/>
          <w:position w:val="0"/>
          <w:sz w:val="22"/>
          <w:shd w:fill="auto" w:val="clear"/>
        </w:rPr>
      </w:pPr>
      <w:r>
        <w:rPr>
          <w:rFonts w:ascii="Georgia" w:hAnsi="Georgia" w:cs="Georgia" w:eastAsia="Georgia"/>
          <w:i/>
          <w:color w:val="C9A042"/>
          <w:spacing w:val="0"/>
          <w:position w:val="0"/>
          <w:sz w:val="24"/>
          <w:shd w:fill="auto" w:val="clear"/>
        </w:rPr>
        <w:t xml:space="preserve">Property Management Services</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160" w:after="80" w:line="240"/>
        <w:ind w:right="0" w:left="0" w:firstLine="0"/>
        <w:jc w:val="center"/>
        <w:rPr>
          <w:rFonts w:ascii="Arial" w:hAnsi="Arial" w:cs="Arial" w:eastAsia="Arial"/>
          <w:color w:val="auto"/>
          <w:spacing w:val="0"/>
          <w:position w:val="0"/>
          <w:sz w:val="22"/>
          <w:shd w:fill="auto" w:val="clear"/>
        </w:rPr>
      </w:pPr>
      <w:r>
        <w:rPr>
          <w:rFonts w:ascii="Georgia" w:hAnsi="Georgia" w:cs="Georgia" w:eastAsia="Georgia"/>
          <w:b/>
          <w:color w:val="0D1B2A"/>
          <w:spacing w:val="0"/>
          <w:position w:val="0"/>
          <w:sz w:val="38"/>
          <w:shd w:fill="auto" w:val="clear"/>
        </w:rPr>
        <w:t xml:space="preserve">Terms &amp; Conditions</w:t>
      </w:r>
    </w:p>
    <w:p>
      <w:pPr>
        <w:spacing w:before="0" w:after="40" w:line="240"/>
        <w:ind w:right="0" w:left="0" w:firstLine="0"/>
        <w:jc w:val="center"/>
        <w:rPr>
          <w:rFonts w:ascii="Arial" w:hAnsi="Arial" w:cs="Arial" w:eastAsia="Arial"/>
          <w:color w:val="auto"/>
          <w:spacing w:val="0"/>
          <w:position w:val="0"/>
          <w:sz w:val="22"/>
          <w:shd w:fill="auto" w:val="clear"/>
        </w:rPr>
      </w:pPr>
      <w:r>
        <w:rPr>
          <w:rFonts w:ascii="Arial" w:hAnsi="Arial" w:cs="Arial" w:eastAsia="Arial"/>
          <w:i/>
          <w:color w:val="555555"/>
          <w:spacing w:val="0"/>
          <w:position w:val="0"/>
          <w:sz w:val="20"/>
          <w:shd w:fill="auto" w:val="clear"/>
        </w:rPr>
        <w:t xml:space="preserve">Last updated: March 2026</w:t>
      </w:r>
    </w:p>
    <w:p>
      <w:pPr>
        <w:spacing w:before="0" w:after="40" w:line="240"/>
        <w:ind w:right="0" w:left="0" w:firstLine="0"/>
        <w:jc w:val="center"/>
        <w:rPr>
          <w:rFonts w:ascii="Arial" w:hAnsi="Arial" w:cs="Arial" w:eastAsia="Arial"/>
          <w:color w:val="auto"/>
          <w:spacing w:val="0"/>
          <w:position w:val="0"/>
          <w:sz w:val="22"/>
          <w:shd w:fill="auto" w:val="clear"/>
        </w:rPr>
      </w:pPr>
      <w:r>
        <w:rPr>
          <w:rFonts w:ascii="Arial" w:hAnsi="Arial" w:cs="Arial" w:eastAsia="Arial"/>
          <w:color w:val="555555"/>
          <w:spacing w:val="0"/>
          <w:position w:val="0"/>
          <w:sz w:val="19"/>
          <w:shd w:fill="auto" w:val="clear"/>
        </w:rPr>
        <w:t xml:space="preserve">Av. Diagonal, 131 · Sant Martí · 08018 Barcelona, Spain</w:t>
      </w:r>
    </w:p>
    <w:p>
      <w:pPr>
        <w:spacing w:before="0" w:after="40" w:line="240"/>
        <w:ind w:right="0" w:left="0" w:firstLine="0"/>
        <w:jc w:val="center"/>
        <w:rPr>
          <w:rFonts w:ascii="Arial" w:hAnsi="Arial" w:cs="Arial" w:eastAsia="Arial"/>
          <w:color w:val="auto"/>
          <w:spacing w:val="0"/>
          <w:position w:val="0"/>
          <w:sz w:val="22"/>
          <w:shd w:fill="auto" w:val="clear"/>
        </w:rPr>
      </w:pPr>
      <w:r>
        <w:rPr>
          <w:rFonts w:ascii="Arial" w:hAnsi="Arial" w:cs="Arial" w:eastAsia="Arial"/>
          <w:color w:val="555555"/>
          <w:spacing w:val="0"/>
          <w:position w:val="0"/>
          <w:sz w:val="19"/>
          <w:shd w:fill="auto" w:val="clear"/>
        </w:rPr>
        <w:t xml:space="preserve">+34 627 13 98 19</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1. Definitions</w:t>
      </w:r>
    </w:p>
    <w:p>
      <w:pPr>
        <w:numPr>
          <w:ilvl w:val="0"/>
          <w:numId w:val="9"/>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"KeyNobles" or "the Provider": KeyNobles Property Management Services, Av. Diagonal, 131, Sant Martí, 08018 Barcelona, Spain.</w:t>
      </w:r>
    </w:p>
    <w:p>
      <w:pPr>
        <w:numPr>
          <w:ilvl w:val="0"/>
          <w:numId w:val="9"/>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"Client": the individual or legal entity contracting KeyNobles services for the supervision and management of their property.</w:t>
      </w:r>
    </w:p>
    <w:p>
      <w:pPr>
        <w:numPr>
          <w:ilvl w:val="0"/>
          <w:numId w:val="9"/>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"Property": the property subject to the management service, as described in the service agreement between the parties.</w:t>
      </w:r>
    </w:p>
    <w:p>
      <w:pPr>
        <w:numPr>
          <w:ilvl w:val="0"/>
          <w:numId w:val="9"/>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"Service": any of the property management and supervision services offered by KeyNobles, including inspection visits, task services, and emergency call-outs.</w:t>
      </w:r>
    </w:p>
    <w:p>
      <w:pPr>
        <w:numPr>
          <w:ilvl w:val="0"/>
          <w:numId w:val="9"/>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"Inspection visit": an in-person visit to the Property by KeyNobles personnel, including a photographic report.</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2. Scope of Services</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These Terms &amp; Conditions govern the provision of private property management and supervision services by KeyNobles to the Client. Engaging any service constitutes full acceptance of these terms.</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KeyNobles provides a personalised, high-quality service. All services are delivered directly by the KeyNobles founders </w:t>
      </w:r>
      <w:r>
        <w:rPr>
          <w:rFonts w:ascii="Arial" w:hAnsi="Arial" w:cs="Arial" w:eastAsia="Arial"/>
          <w:color w:val="1A1A1A"/>
          <w:spacing w:val="0"/>
          <w:position w:val="0"/>
          <w:sz w:val="22"/>
          <w:shd w:fill="auto" w:val="clear"/>
        </w:rPr>
        <w:t xml:space="preserve">—</w:t>
      </w:r>
      <w:r>
        <w:rPr>
          <w:rFonts w:ascii="Arial" w:hAnsi="Arial" w:cs="Arial" w:eastAsia="Arial"/>
          <w:color w:val="1A1A1A"/>
          <w:spacing w:val="0"/>
          <w:position w:val="0"/>
          <w:sz w:val="22"/>
          <w:shd w:fill="auto" w:val="clear"/>
        </w:rPr>
        <w:t xml:space="preserve"> never outsourced to third parties </w:t>
      </w:r>
      <w:r>
        <w:rPr>
          <w:rFonts w:ascii="Arial" w:hAnsi="Arial" w:cs="Arial" w:eastAsia="Arial"/>
          <w:color w:val="1A1A1A"/>
          <w:spacing w:val="0"/>
          <w:position w:val="0"/>
          <w:sz w:val="22"/>
          <w:shd w:fill="auto" w:val="clear"/>
        </w:rPr>
        <w:t xml:space="preserve">—</w:t>
      </w:r>
      <w:r>
        <w:rPr>
          <w:rFonts w:ascii="Arial" w:hAnsi="Arial" w:cs="Arial" w:eastAsia="Arial"/>
          <w:color w:val="1A1A1A"/>
          <w:spacing w:val="0"/>
          <w:position w:val="0"/>
          <w:sz w:val="22"/>
          <w:shd w:fill="auto" w:val="clear"/>
        </w:rPr>
        <w:t xml:space="preserve"> except where coordination with specialist tradespeople is required (plumbers, electricians, locksmiths, etc.), in which case KeyNobles acts as intermediary and supervises all work.</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3. Engaging Our Services</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Services are formalised by:</w:t>
      </w:r>
    </w:p>
    <w:p>
      <w:pPr>
        <w:numPr>
          <w:ilvl w:val="0"/>
          <w:numId w:val="16"/>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Written confirmation (email or WhatsApp) specifying the service requested, the property, and the agreed price, or</w:t>
      </w:r>
    </w:p>
    <w:p>
      <w:pPr>
        <w:numPr>
          <w:ilvl w:val="0"/>
          <w:numId w:val="16"/>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A signed service agreement for recurring or long-term arrangements.</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KeyNobles reserves the right to decline service requests if it determines that the service cannot be delivered to its quality standards, or if operational capacity does not permit it.</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4. Pricing and Invoicing</w:t>
      </w:r>
    </w:p>
    <w:p>
      <w:pPr>
        <w:spacing w:before="220" w:after="80" w:line="240"/>
        <w:ind w:right="0" w:left="0" w:firstLine="0"/>
        <w:jc w:val="left"/>
        <w:rPr>
          <w:rFonts w:ascii="Georgia" w:hAnsi="Georgia" w:cs="Georgia" w:eastAsia="Georgia"/>
          <w:b/>
          <w:color w:val="C9A042"/>
          <w:spacing w:val="0"/>
          <w:position w:val="0"/>
          <w:sz w:val="24"/>
          <w:shd w:fill="auto" w:val="clear"/>
        </w:rPr>
      </w:pPr>
      <w:r>
        <w:rPr>
          <w:rFonts w:ascii="Georgia" w:hAnsi="Georgia" w:cs="Georgia" w:eastAsia="Georgia"/>
          <w:b/>
          <w:color w:val="C9A042"/>
          <w:spacing w:val="0"/>
          <w:position w:val="0"/>
          <w:sz w:val="24"/>
          <w:shd w:fill="auto" w:val="clear"/>
        </w:rPr>
        <w:t xml:space="preserve">4.1 Pricing</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Service prices are those shown on the KeyNobles website at the time of engagement, or as specifically agreed in writing with the Client. All prices include VAT unless otherwise stated.</w:t>
      </w:r>
    </w:p>
    <w:p>
      <w:pPr>
        <w:spacing w:before="220" w:after="80" w:line="240"/>
        <w:ind w:right="0" w:left="0" w:firstLine="0"/>
        <w:jc w:val="left"/>
        <w:rPr>
          <w:rFonts w:ascii="Georgia" w:hAnsi="Georgia" w:cs="Georgia" w:eastAsia="Georgia"/>
          <w:b/>
          <w:color w:val="C9A042"/>
          <w:spacing w:val="0"/>
          <w:position w:val="0"/>
          <w:sz w:val="24"/>
          <w:shd w:fill="auto" w:val="clear"/>
        </w:rPr>
      </w:pPr>
      <w:r>
        <w:rPr>
          <w:rFonts w:ascii="Georgia" w:hAnsi="Georgia" w:cs="Georgia" w:eastAsia="Georgia"/>
          <w:b/>
          <w:color w:val="C9A042"/>
          <w:spacing w:val="0"/>
          <w:position w:val="0"/>
          <w:sz w:val="24"/>
          <w:shd w:fill="auto" w:val="clear"/>
        </w:rPr>
        <w:t xml:space="preserve">4.2 Emergency call-outs</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Emergency call-outs are charged at the standard inspection visit price for the relevant property type, plus a €100 urgent response surcharge.</w:t>
      </w:r>
    </w:p>
    <w:p>
      <w:pPr>
        <w:spacing w:before="220" w:after="80" w:line="240"/>
        <w:ind w:right="0" w:left="0" w:firstLine="0"/>
        <w:jc w:val="left"/>
        <w:rPr>
          <w:rFonts w:ascii="Georgia" w:hAnsi="Georgia" w:cs="Georgia" w:eastAsia="Georgia"/>
          <w:b/>
          <w:color w:val="C9A042"/>
          <w:spacing w:val="0"/>
          <w:position w:val="0"/>
          <w:sz w:val="24"/>
          <w:shd w:fill="auto" w:val="clear"/>
        </w:rPr>
      </w:pPr>
      <w:r>
        <w:rPr>
          <w:rFonts w:ascii="Georgia" w:hAnsi="Georgia" w:cs="Georgia" w:eastAsia="Georgia"/>
          <w:b/>
          <w:color w:val="C9A042"/>
          <w:spacing w:val="0"/>
          <w:position w:val="0"/>
          <w:sz w:val="24"/>
          <w:shd w:fill="auto" w:val="clear"/>
        </w:rPr>
        <w:t xml:space="preserve">4.3 Third-party costs</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Expenses incurred on the Client's behalf </w:t>
      </w:r>
      <w:r>
        <w:rPr>
          <w:rFonts w:ascii="Arial" w:hAnsi="Arial" w:cs="Arial" w:eastAsia="Arial"/>
          <w:color w:val="1A1A1A"/>
          <w:spacing w:val="0"/>
          <w:position w:val="0"/>
          <w:sz w:val="22"/>
          <w:shd w:fill="auto" w:val="clear"/>
        </w:rPr>
        <w:t xml:space="preserve">—</w:t>
      </w:r>
      <w:r>
        <w:rPr>
          <w:rFonts w:ascii="Arial" w:hAnsi="Arial" w:cs="Arial" w:eastAsia="Arial"/>
          <w:color w:val="1A1A1A"/>
          <w:spacing w:val="0"/>
          <w:position w:val="0"/>
          <w:sz w:val="22"/>
          <w:shd w:fill="auto" w:val="clear"/>
        </w:rPr>
        <w:t xml:space="preserve"> such as purchasing supplies or engaging tradespeople </w:t>
      </w:r>
      <w:r>
        <w:rPr>
          <w:rFonts w:ascii="Arial" w:hAnsi="Arial" w:cs="Arial" w:eastAsia="Arial"/>
          <w:color w:val="1A1A1A"/>
          <w:spacing w:val="0"/>
          <w:position w:val="0"/>
          <w:sz w:val="22"/>
          <w:shd w:fill="auto" w:val="clear"/>
        </w:rPr>
        <w:t xml:space="preserve">—</w:t>
      </w:r>
      <w:r>
        <w:rPr>
          <w:rFonts w:ascii="Arial" w:hAnsi="Arial" w:cs="Arial" w:eastAsia="Arial"/>
          <w:color w:val="1A1A1A"/>
          <w:spacing w:val="0"/>
          <w:position w:val="0"/>
          <w:sz w:val="22"/>
          <w:shd w:fill="auto" w:val="clear"/>
        </w:rPr>
        <w:t xml:space="preserve"> are passed on at actual cost, with no markup applied by KeyNobles.</w:t>
      </w:r>
    </w:p>
    <w:p>
      <w:pPr>
        <w:spacing w:before="220" w:after="80" w:line="240"/>
        <w:ind w:right="0" w:left="0" w:firstLine="0"/>
        <w:jc w:val="left"/>
        <w:rPr>
          <w:rFonts w:ascii="Georgia" w:hAnsi="Georgia" w:cs="Georgia" w:eastAsia="Georgia"/>
          <w:b/>
          <w:color w:val="C9A042"/>
          <w:spacing w:val="0"/>
          <w:position w:val="0"/>
          <w:sz w:val="24"/>
          <w:shd w:fill="auto" w:val="clear"/>
        </w:rPr>
      </w:pPr>
      <w:r>
        <w:rPr>
          <w:rFonts w:ascii="Georgia" w:hAnsi="Georgia" w:cs="Georgia" w:eastAsia="Georgia"/>
          <w:b/>
          <w:color w:val="C9A042"/>
          <w:spacing w:val="0"/>
          <w:position w:val="0"/>
          <w:sz w:val="24"/>
          <w:shd w:fill="auto" w:val="clear"/>
        </w:rPr>
        <w:t xml:space="preserve">4.4 Payment terms</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Invoices are issued monthly or upon completion of each one-off service, as agreed. Payment is due within 14 calendar days of the invoice date, by bank transfer or via our online payment platform. Late payments may incur interest at the applicable statutory rate.</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5. KeyNobles Obligations</w:t>
      </w:r>
    </w:p>
    <w:p>
      <w:pPr>
        <w:numPr>
          <w:ilvl w:val="0"/>
          <w:numId w:val="30"/>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Deliver all contracted services with professional diligence and within agreed timeframes</w:t>
      </w:r>
    </w:p>
    <w:p>
      <w:pPr>
        <w:numPr>
          <w:ilvl w:val="0"/>
          <w:numId w:val="30"/>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Send the Client a detailed photographic inspection report within 24 hours of each visit</w:t>
      </w:r>
    </w:p>
    <w:p>
      <w:pPr>
        <w:numPr>
          <w:ilvl w:val="0"/>
          <w:numId w:val="30"/>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Maintain strict confidentiality over all property access data and Client information</w:t>
      </w:r>
    </w:p>
    <w:p>
      <w:pPr>
        <w:numPr>
          <w:ilvl w:val="0"/>
          <w:numId w:val="30"/>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Notify the Client immediately of any significant issue identified at the Property</w:t>
      </w:r>
    </w:p>
    <w:p>
      <w:pPr>
        <w:numPr>
          <w:ilvl w:val="0"/>
          <w:numId w:val="30"/>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Always act in the Client's best interest when coordinating with third parties</w:t>
      </w:r>
    </w:p>
    <w:p>
      <w:pPr>
        <w:numPr>
          <w:ilvl w:val="0"/>
          <w:numId w:val="30"/>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Remain available for emergencies 24 hours a day, 7 days a week</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6. Client Obligations</w:t>
      </w:r>
    </w:p>
    <w:p>
      <w:pPr>
        <w:numPr>
          <w:ilvl w:val="0"/>
          <w:numId w:val="33"/>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Provide KeyNobles with necessary access to the Property (keys, alarm codes, access credentials)</w:t>
      </w:r>
    </w:p>
    <w:p>
      <w:pPr>
        <w:numPr>
          <w:ilvl w:val="0"/>
          <w:numId w:val="33"/>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Notify KeyNobles of any relevant changes to the Property or service instructions</w:t>
      </w:r>
    </w:p>
    <w:p>
      <w:pPr>
        <w:numPr>
          <w:ilvl w:val="0"/>
          <w:numId w:val="33"/>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Pay invoices within the agreed timeframes</w:t>
      </w:r>
    </w:p>
    <w:p>
      <w:pPr>
        <w:numPr>
          <w:ilvl w:val="0"/>
          <w:numId w:val="33"/>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Maintain adequate property insurance. KeyNobles does not accept liability for pre-existing damage or damage caused by third parties</w:t>
      </w:r>
    </w:p>
    <w:p>
      <w:pPr>
        <w:numPr>
          <w:ilvl w:val="0"/>
          <w:numId w:val="33"/>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Inform KeyNobles of any other professionals who may access the Property during the service period</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7. Liability</w:t>
      </w:r>
    </w:p>
    <w:p>
      <w:pPr>
        <w:spacing w:before="220" w:after="80" w:line="240"/>
        <w:ind w:right="0" w:left="0" w:firstLine="0"/>
        <w:jc w:val="left"/>
        <w:rPr>
          <w:rFonts w:ascii="Georgia" w:hAnsi="Georgia" w:cs="Georgia" w:eastAsia="Georgia"/>
          <w:b/>
          <w:color w:val="C9A042"/>
          <w:spacing w:val="0"/>
          <w:position w:val="0"/>
          <w:sz w:val="24"/>
          <w:shd w:fill="auto" w:val="clear"/>
        </w:rPr>
      </w:pPr>
      <w:r>
        <w:rPr>
          <w:rFonts w:ascii="Georgia" w:hAnsi="Georgia" w:cs="Georgia" w:eastAsia="Georgia"/>
          <w:b/>
          <w:color w:val="C9A042"/>
          <w:spacing w:val="0"/>
          <w:position w:val="0"/>
          <w:sz w:val="24"/>
          <w:shd w:fill="auto" w:val="clear"/>
        </w:rPr>
        <w:t xml:space="preserve">7.1 KeyNobles liability</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KeyNobles is liable for direct damages caused to the Client through gross negligence or wilful misconduct in the delivery of the service, up to a maximum equivalent to the invoiced amount for the preceding 3 months of service.</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KeyNobles is not liable for damages caused by circumstances beyond its control, including infrastructure failures, acts of third parties, force majeure events, or deterioration resulting from the pre-existing condition or age of the property.</w:t>
      </w:r>
    </w:p>
    <w:p>
      <w:pPr>
        <w:spacing w:before="220" w:after="80" w:line="240"/>
        <w:ind w:right="0" w:left="0" w:firstLine="0"/>
        <w:jc w:val="left"/>
        <w:rPr>
          <w:rFonts w:ascii="Georgia" w:hAnsi="Georgia" w:cs="Georgia" w:eastAsia="Georgia"/>
          <w:b/>
          <w:color w:val="C9A042"/>
          <w:spacing w:val="0"/>
          <w:position w:val="0"/>
          <w:sz w:val="24"/>
          <w:shd w:fill="auto" w:val="clear"/>
        </w:rPr>
      </w:pPr>
      <w:r>
        <w:rPr>
          <w:rFonts w:ascii="Georgia" w:hAnsi="Georgia" w:cs="Georgia" w:eastAsia="Georgia"/>
          <w:b/>
          <w:color w:val="C9A042"/>
          <w:spacing w:val="0"/>
          <w:position w:val="0"/>
          <w:sz w:val="24"/>
          <w:shd w:fill="auto" w:val="clear"/>
        </w:rPr>
        <w:t xml:space="preserve">7.2 Property access</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The Client expressly authorises KeyNobles to access the Property for the purpose of delivering the contracted services. All access is conducted solely for service delivery and is documented through the photographic report.</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8. Cancellations and Termination</w:t>
      </w:r>
    </w:p>
    <w:p>
      <w:pPr>
        <w:spacing w:before="220" w:after="80" w:line="240"/>
        <w:ind w:right="0" w:left="0" w:firstLine="0"/>
        <w:jc w:val="left"/>
        <w:rPr>
          <w:rFonts w:ascii="Georgia" w:hAnsi="Georgia" w:cs="Georgia" w:eastAsia="Georgia"/>
          <w:b/>
          <w:color w:val="C9A042"/>
          <w:spacing w:val="0"/>
          <w:position w:val="0"/>
          <w:sz w:val="24"/>
          <w:shd w:fill="auto" w:val="clear"/>
        </w:rPr>
      </w:pPr>
      <w:r>
        <w:rPr>
          <w:rFonts w:ascii="Georgia" w:hAnsi="Georgia" w:cs="Georgia" w:eastAsia="Georgia"/>
          <w:b/>
          <w:color w:val="C9A042"/>
          <w:spacing w:val="0"/>
          <w:position w:val="0"/>
          <w:sz w:val="24"/>
          <w:shd w:fill="auto" w:val="clear"/>
        </w:rPr>
        <w:t xml:space="preserve">8.1 One-off services</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Cancellations of one-off services must be communicated at least 24 hours in advance. Cancellations with less than 24 hours' notice may be charged at 50% of the service fee.</w:t>
      </w:r>
    </w:p>
    <w:p>
      <w:pPr>
        <w:spacing w:before="220" w:after="80" w:line="240"/>
        <w:ind w:right="0" w:left="0" w:firstLine="0"/>
        <w:jc w:val="left"/>
        <w:rPr>
          <w:rFonts w:ascii="Georgia" w:hAnsi="Georgia" w:cs="Georgia" w:eastAsia="Georgia"/>
          <w:b/>
          <w:color w:val="C9A042"/>
          <w:spacing w:val="0"/>
          <w:position w:val="0"/>
          <w:sz w:val="24"/>
          <w:shd w:fill="auto" w:val="clear"/>
        </w:rPr>
      </w:pPr>
      <w:r>
        <w:rPr>
          <w:rFonts w:ascii="Georgia" w:hAnsi="Georgia" w:cs="Georgia" w:eastAsia="Georgia"/>
          <w:b/>
          <w:color w:val="C9A042"/>
          <w:spacing w:val="0"/>
          <w:position w:val="0"/>
          <w:sz w:val="24"/>
          <w:shd w:fill="auto" w:val="clear"/>
        </w:rPr>
        <w:t xml:space="preserve">8.2 Recurring contracts</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Either party may terminate a recurring service contract with a minimum of 30 calendar days' written notice. KeyNobles may terminate the contract immediately in the event of non-payment or material breach by the Client.</w:t>
      </w:r>
    </w:p>
    <w:p>
      <w:pPr>
        <w:spacing w:before="220" w:after="80" w:line="240"/>
        <w:ind w:right="0" w:left="0" w:firstLine="0"/>
        <w:jc w:val="left"/>
        <w:rPr>
          <w:rFonts w:ascii="Georgia" w:hAnsi="Georgia" w:cs="Georgia" w:eastAsia="Georgia"/>
          <w:b/>
          <w:color w:val="C9A042"/>
          <w:spacing w:val="0"/>
          <w:position w:val="0"/>
          <w:sz w:val="24"/>
          <w:shd w:fill="auto" w:val="clear"/>
        </w:rPr>
      </w:pPr>
      <w:r>
        <w:rPr>
          <w:rFonts w:ascii="Georgia" w:hAnsi="Georgia" w:cs="Georgia" w:eastAsia="Georgia"/>
          <w:b/>
          <w:color w:val="C9A042"/>
          <w:spacing w:val="0"/>
          <w:position w:val="0"/>
          <w:sz w:val="24"/>
          <w:shd w:fill="auto" w:val="clear"/>
        </w:rPr>
        <w:t xml:space="preserve">8.3 Return of access items</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Upon termination, both parties will return keys, access credentials, and any property or documentation belonging to the other party.</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9. Confidentiality</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Both parties undertake to keep confidential all information exchanged in the course of the contractual relationship. This obligation continues for 5 years after termination.</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In particular, KeyNobles will treat with the utmost discretion all information relating to the Client's identity, property location and characteristics, access details, and any incidents identified.</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10. Data Protection</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Personal data processed in connection with the contractual relationship is governed by KeyNobles' Privacy Policy, available on our website. Both parties commit to full compliance with the GDPR and Spain's LOPDGDD.</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11. Governing Law and Dispute Resolution</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These terms are governed by Spanish law. In the event of any dispute, the parties agree to attempt an amicable resolution within 30 days. If this is not possible, both parties submit to the jurisdiction of the Courts and Tribunals of Barcelona, expressly waiving any other applicable jurisdiction.</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12. Amendments</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KeyNobles reserves the right to amend these Terms &amp; Conditions. Changes take effect 15 days after publication on the website. Continued use of the service after that period constitutes acceptance of the updated terms.</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num w:numId="9">
    <w:abstractNumId w:val="18"/>
  </w:num>
  <w:num w:numId="16">
    <w:abstractNumId w:val="12"/>
  </w:num>
  <w:num w:numId="30">
    <w:abstractNumId w:val="6"/>
  </w:num>
  <w:num w:numId="33">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