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Arial" w:hAnsi="Arial" w:cs="Arial" w:eastAsia="Arial"/>
          <w:color w:val="auto"/>
          <w:spacing w:val="0"/>
          <w:position w:val="0"/>
          <w:sz w:val="22"/>
          <w:shd w:fill="auto" w:val="clear"/>
        </w:rPr>
      </w:pPr>
      <w:r>
        <w:object w:dxaOrig="1440" w:dyaOrig="1828">
          <v:rect xmlns:o="urn:schemas-microsoft-com:office:office" xmlns:v="urn:schemas-microsoft-com:vml" id="rectole0000000000" style="width:72.000000pt;height:91.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20" w:after="60" w:line="240"/>
        <w:ind w:right="0" w:left="0" w:firstLine="0"/>
        <w:jc w:val="center"/>
        <w:rPr>
          <w:rFonts w:ascii="Arial" w:hAnsi="Arial" w:cs="Arial" w:eastAsia="Arial"/>
          <w:color w:val="auto"/>
          <w:spacing w:val="0"/>
          <w:position w:val="0"/>
          <w:sz w:val="22"/>
          <w:shd w:fill="auto" w:val="clear"/>
        </w:rPr>
      </w:pPr>
      <w:r>
        <w:rPr>
          <w:rFonts w:ascii="Georgia" w:hAnsi="Georgia" w:cs="Georgia" w:eastAsia="Georgia"/>
          <w:b/>
          <w:color w:val="0D1B2A"/>
          <w:spacing w:val="0"/>
          <w:position w:val="0"/>
          <w:sz w:val="48"/>
          <w:shd w:fill="auto" w:val="clear"/>
        </w:rPr>
        <w:t xml:space="preserve">KeyNobles</w:t>
      </w:r>
    </w:p>
    <w:p>
      <w:pPr>
        <w:spacing w:before="0" w:after="40" w:line="240"/>
        <w:ind w:right="0" w:left="0" w:firstLine="0"/>
        <w:jc w:val="center"/>
        <w:rPr>
          <w:rFonts w:ascii="Arial" w:hAnsi="Arial" w:cs="Arial" w:eastAsia="Arial"/>
          <w:color w:val="auto"/>
          <w:spacing w:val="0"/>
          <w:position w:val="0"/>
          <w:sz w:val="22"/>
          <w:shd w:fill="auto" w:val="clear"/>
        </w:rPr>
      </w:pPr>
      <w:r>
        <w:rPr>
          <w:rFonts w:ascii="Georgia" w:hAnsi="Georgia" w:cs="Georgia" w:eastAsia="Georgia"/>
          <w:i/>
          <w:color w:val="C9A042"/>
          <w:spacing w:val="0"/>
          <w:position w:val="0"/>
          <w:sz w:val="24"/>
          <w:shd w:fill="auto" w:val="clear"/>
        </w:rPr>
        <w:t xml:space="preserve">Property Management Services</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160" w:after="80" w:line="240"/>
        <w:ind w:right="0" w:left="0" w:firstLine="0"/>
        <w:jc w:val="center"/>
        <w:rPr>
          <w:rFonts w:ascii="Arial" w:hAnsi="Arial" w:cs="Arial" w:eastAsia="Arial"/>
          <w:color w:val="auto"/>
          <w:spacing w:val="0"/>
          <w:position w:val="0"/>
          <w:sz w:val="22"/>
          <w:shd w:fill="auto" w:val="clear"/>
        </w:rPr>
      </w:pPr>
      <w:r>
        <w:rPr>
          <w:rFonts w:ascii="Georgia" w:hAnsi="Georgia" w:cs="Georgia" w:eastAsia="Georgia"/>
          <w:b/>
          <w:color w:val="0D1B2A"/>
          <w:spacing w:val="0"/>
          <w:position w:val="0"/>
          <w:sz w:val="38"/>
          <w:shd w:fill="auto" w:val="clear"/>
        </w:rPr>
        <w:t xml:space="preserve">Privacy Policy</w:t>
      </w:r>
    </w:p>
    <w:p>
      <w:pPr>
        <w:spacing w:before="0" w:after="40" w:line="240"/>
        <w:ind w:right="0" w:left="0" w:firstLine="0"/>
        <w:jc w:val="center"/>
        <w:rPr>
          <w:rFonts w:ascii="Arial" w:hAnsi="Arial" w:cs="Arial" w:eastAsia="Arial"/>
          <w:color w:val="auto"/>
          <w:spacing w:val="0"/>
          <w:position w:val="0"/>
          <w:sz w:val="22"/>
          <w:shd w:fill="auto" w:val="clear"/>
        </w:rPr>
      </w:pPr>
      <w:r>
        <w:rPr>
          <w:rFonts w:ascii="Arial" w:hAnsi="Arial" w:cs="Arial" w:eastAsia="Arial"/>
          <w:i/>
          <w:color w:val="555555"/>
          <w:spacing w:val="0"/>
          <w:position w:val="0"/>
          <w:sz w:val="20"/>
          <w:shd w:fill="auto" w:val="clear"/>
        </w:rPr>
        <w:t xml:space="preserve">Last updated: March 2026</w:t>
      </w:r>
    </w:p>
    <w:p>
      <w:pPr>
        <w:spacing w:before="0" w:after="40" w:line="240"/>
        <w:ind w:right="0" w:left="0" w:firstLine="0"/>
        <w:jc w:val="center"/>
        <w:rPr>
          <w:rFonts w:ascii="Arial" w:hAnsi="Arial" w:cs="Arial" w:eastAsia="Arial"/>
          <w:color w:val="auto"/>
          <w:spacing w:val="0"/>
          <w:position w:val="0"/>
          <w:sz w:val="22"/>
          <w:shd w:fill="auto" w:val="clear"/>
        </w:rPr>
      </w:pPr>
      <w:r>
        <w:rPr>
          <w:rFonts w:ascii="Arial" w:hAnsi="Arial" w:cs="Arial" w:eastAsia="Arial"/>
          <w:color w:val="555555"/>
          <w:spacing w:val="0"/>
          <w:position w:val="0"/>
          <w:sz w:val="19"/>
          <w:shd w:fill="auto" w:val="clear"/>
        </w:rPr>
        <w:t xml:space="preserve">Av. Diagonal, 131 · Sant Martí · 08018 Barcelona, Spain</w:t>
      </w:r>
    </w:p>
    <w:p>
      <w:pPr>
        <w:spacing w:before="0" w:after="40" w:line="240"/>
        <w:ind w:right="0" w:left="0" w:firstLine="0"/>
        <w:jc w:val="center"/>
        <w:rPr>
          <w:rFonts w:ascii="Arial" w:hAnsi="Arial" w:cs="Arial" w:eastAsia="Arial"/>
          <w:color w:val="auto"/>
          <w:spacing w:val="0"/>
          <w:position w:val="0"/>
          <w:sz w:val="22"/>
          <w:shd w:fill="auto" w:val="clear"/>
        </w:rPr>
      </w:pPr>
      <w:r>
        <w:rPr>
          <w:rFonts w:ascii="Arial" w:hAnsi="Arial" w:cs="Arial" w:eastAsia="Arial"/>
          <w:color w:val="555555"/>
          <w:spacing w:val="0"/>
          <w:position w:val="0"/>
          <w:sz w:val="19"/>
          <w:shd w:fill="auto" w:val="clear"/>
        </w:rPr>
        <w:t xml:space="preserve">+34 627 13 98 19</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1. Data Controller</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In accordance with Regulation (EU) 2016/679 (GDPR) and Spain's Organic Law 3/2018 on Data Protection (LOPDGDD), we provide the following information about how KeyNobles processes your personal data.</w:t>
      </w:r>
    </w:p>
    <w:p>
      <w:pPr>
        <w:spacing w:before="40" w:after="6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1A1A1A"/>
          <w:spacing w:val="0"/>
          <w:position w:val="0"/>
          <w:sz w:val="22"/>
          <w:shd w:fill="auto" w:val="clear"/>
        </w:rPr>
        <w:t xml:space="preserve">Trading name: </w:t>
      </w:r>
      <w:r>
        <w:rPr>
          <w:rFonts w:ascii="Arial" w:hAnsi="Arial" w:cs="Arial" w:eastAsia="Arial"/>
          <w:color w:val="1A1A1A"/>
          <w:spacing w:val="0"/>
          <w:position w:val="0"/>
          <w:sz w:val="22"/>
          <w:shd w:fill="auto" w:val="clear"/>
        </w:rPr>
        <w:t xml:space="preserve">KeyNobles Property Management Services</w:t>
      </w:r>
    </w:p>
    <w:p>
      <w:pPr>
        <w:spacing w:before="40" w:after="6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1A1A1A"/>
          <w:spacing w:val="0"/>
          <w:position w:val="0"/>
          <w:sz w:val="22"/>
          <w:shd w:fill="auto" w:val="clear"/>
        </w:rPr>
        <w:t xml:space="preserve">Address: </w:t>
      </w:r>
      <w:r>
        <w:rPr>
          <w:rFonts w:ascii="Arial" w:hAnsi="Arial" w:cs="Arial" w:eastAsia="Arial"/>
          <w:color w:val="1A1A1A"/>
          <w:spacing w:val="0"/>
          <w:position w:val="0"/>
          <w:sz w:val="22"/>
          <w:shd w:fill="auto" w:val="clear"/>
        </w:rPr>
        <w:t xml:space="preserve">Av. Diagonal, 131, Sant Martí, 08018 Barcelona, Spain</w:t>
      </w:r>
    </w:p>
    <w:p>
      <w:pPr>
        <w:spacing w:before="40" w:after="6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1A1A1A"/>
          <w:spacing w:val="0"/>
          <w:position w:val="0"/>
          <w:sz w:val="22"/>
          <w:shd w:fill="auto" w:val="clear"/>
        </w:rPr>
        <w:t xml:space="preserve">Phone: </w:t>
      </w:r>
      <w:r>
        <w:rPr>
          <w:rFonts w:ascii="Arial" w:hAnsi="Arial" w:cs="Arial" w:eastAsia="Arial"/>
          <w:color w:val="1A1A1A"/>
          <w:spacing w:val="0"/>
          <w:position w:val="0"/>
          <w:sz w:val="22"/>
          <w:shd w:fill="auto" w:val="clear"/>
        </w:rPr>
        <w:t xml:space="preserve">+34 627 13 98 19</w:t>
      </w:r>
    </w:p>
    <w:p>
      <w:pPr>
        <w:spacing w:before="40" w:after="60" w:line="240"/>
        <w:ind w:right="0" w:left="0" w:firstLine="0"/>
        <w:jc w:val="left"/>
        <w:rPr>
          <w:rFonts w:ascii="Arial" w:hAnsi="Arial" w:cs="Arial" w:eastAsia="Arial"/>
          <w:color w:val="auto"/>
          <w:spacing w:val="0"/>
          <w:position w:val="0"/>
          <w:sz w:val="22"/>
          <w:shd w:fill="auto" w:val="clear"/>
        </w:rPr>
      </w:pPr>
      <w:r>
        <w:rPr>
          <w:rFonts w:ascii="Arial" w:hAnsi="Arial" w:cs="Arial" w:eastAsia="Arial"/>
          <w:b/>
          <w:color w:val="1A1A1A"/>
          <w:spacing w:val="0"/>
          <w:position w:val="0"/>
          <w:sz w:val="22"/>
          <w:shd w:fill="auto" w:val="clear"/>
        </w:rPr>
        <w:t xml:space="preserve">Website: </w:t>
      </w:r>
      <w:r>
        <w:rPr>
          <w:rFonts w:ascii="Arial" w:hAnsi="Arial" w:cs="Arial" w:eastAsia="Arial"/>
          <w:color w:val="1A1A1A"/>
          <w:spacing w:val="0"/>
          <w:position w:val="0"/>
          <w:sz w:val="22"/>
          <w:shd w:fill="auto" w:val="clear"/>
        </w:rPr>
        <w:t xml:space="preserve">hackersmye.wixsite.com/keynobles</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2. Data We Collect</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We collect the following personal data when you contact us, engage our services, or use our website:</w:t>
      </w:r>
    </w:p>
    <w:p>
      <w:pPr>
        <w:numPr>
          <w:ilvl w:val="0"/>
          <w:numId w:val="14"/>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Identity data: full name, passport or national ID number (if required for the service)</w:t>
      </w:r>
    </w:p>
    <w:p>
      <w:pPr>
        <w:numPr>
          <w:ilvl w:val="0"/>
          <w:numId w:val="14"/>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Contact data: email address, phone number</w:t>
      </w:r>
    </w:p>
    <w:p>
      <w:pPr>
        <w:numPr>
          <w:ilvl w:val="0"/>
          <w:numId w:val="14"/>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Property data: property address, description, and access information</w:t>
      </w:r>
    </w:p>
    <w:p>
      <w:pPr>
        <w:numPr>
          <w:ilvl w:val="0"/>
          <w:numId w:val="14"/>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Financial data: bank or payment details required for invoicing</w:t>
      </w:r>
    </w:p>
    <w:p>
      <w:pPr>
        <w:numPr>
          <w:ilvl w:val="0"/>
          <w:numId w:val="14"/>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Communication data: messages, emails, photographs, and reports generated during service delivery</w:t>
      </w:r>
    </w:p>
    <w:p>
      <w:pPr>
        <w:numPr>
          <w:ilvl w:val="0"/>
          <w:numId w:val="14"/>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Usage data: technical and analytical cookies (see Cookie Policy)</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3. Purpose and Legal Basis for Processing</w:t>
      </w:r>
    </w:p>
    <w:p>
      <w:pPr>
        <w:spacing w:before="220" w:after="80" w:line="240"/>
        <w:ind w:right="0" w:left="0" w:firstLine="0"/>
        <w:jc w:val="left"/>
        <w:rPr>
          <w:rFonts w:ascii="Georgia" w:hAnsi="Georgia" w:cs="Georgia" w:eastAsia="Georgia"/>
          <w:b/>
          <w:color w:val="C9A042"/>
          <w:spacing w:val="0"/>
          <w:position w:val="0"/>
          <w:sz w:val="24"/>
          <w:shd w:fill="auto" w:val="clear"/>
        </w:rPr>
      </w:pPr>
      <w:r>
        <w:rPr>
          <w:rFonts w:ascii="Georgia" w:hAnsi="Georgia" w:cs="Georgia" w:eastAsia="Georgia"/>
          <w:b/>
          <w:color w:val="C9A042"/>
          <w:spacing w:val="0"/>
          <w:position w:val="0"/>
          <w:sz w:val="24"/>
          <w:shd w:fill="auto" w:val="clear"/>
        </w:rPr>
        <w:t xml:space="preserve">3.1 Delivery of contracted services</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Legal basis: performance of a contract (Art. 6.1.b GDPR). We process your data to manage the contractual relationship, issue invoices, coordinate property visits and reports, and communicate with you about your property.</w:t>
      </w:r>
    </w:p>
    <w:p>
      <w:pPr>
        <w:spacing w:before="220" w:after="80" w:line="240"/>
        <w:ind w:right="0" w:left="0" w:firstLine="0"/>
        <w:jc w:val="left"/>
        <w:rPr>
          <w:rFonts w:ascii="Georgia" w:hAnsi="Georgia" w:cs="Georgia" w:eastAsia="Georgia"/>
          <w:b/>
          <w:color w:val="C9A042"/>
          <w:spacing w:val="0"/>
          <w:position w:val="0"/>
          <w:sz w:val="24"/>
          <w:shd w:fill="auto" w:val="clear"/>
        </w:rPr>
      </w:pPr>
      <w:r>
        <w:rPr>
          <w:rFonts w:ascii="Georgia" w:hAnsi="Georgia" w:cs="Georgia" w:eastAsia="Georgia"/>
          <w:b/>
          <w:color w:val="C9A042"/>
          <w:spacing w:val="0"/>
          <w:position w:val="0"/>
          <w:sz w:val="24"/>
          <w:shd w:fill="auto" w:val="clear"/>
        </w:rPr>
        <w:t xml:space="preserve">3.2 Legal obligations</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Legal basis: compliance with a legal obligation (Art. 6.1.c GDPR). We retain tax and accounting records in accordance with Spanish tax law (General Tax Act 58/2003).</w:t>
      </w:r>
    </w:p>
    <w:p>
      <w:pPr>
        <w:spacing w:before="220" w:after="80" w:line="240"/>
        <w:ind w:right="0" w:left="0" w:firstLine="0"/>
        <w:jc w:val="left"/>
        <w:rPr>
          <w:rFonts w:ascii="Georgia" w:hAnsi="Georgia" w:cs="Georgia" w:eastAsia="Georgia"/>
          <w:b/>
          <w:color w:val="C9A042"/>
          <w:spacing w:val="0"/>
          <w:position w:val="0"/>
          <w:sz w:val="24"/>
          <w:shd w:fill="auto" w:val="clear"/>
        </w:rPr>
      </w:pPr>
      <w:r>
        <w:rPr>
          <w:rFonts w:ascii="Georgia" w:hAnsi="Georgia" w:cs="Georgia" w:eastAsia="Georgia"/>
          <w:b/>
          <w:color w:val="C9A042"/>
          <w:spacing w:val="0"/>
          <w:position w:val="0"/>
          <w:sz w:val="24"/>
          <w:shd w:fill="auto" w:val="clear"/>
        </w:rPr>
        <w:t xml:space="preserve">3.3 Legitimate interests</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Legal basis: legitimate interests (Art. 6.1.f GDPR). We may process data to improve our services, send commercial communications related to services similar to those you have contracted, and maintain the security of our systems.</w:t>
      </w:r>
    </w:p>
    <w:p>
      <w:pPr>
        <w:spacing w:before="220" w:after="80" w:line="240"/>
        <w:ind w:right="0" w:left="0" w:firstLine="0"/>
        <w:jc w:val="left"/>
        <w:rPr>
          <w:rFonts w:ascii="Georgia" w:hAnsi="Georgia" w:cs="Georgia" w:eastAsia="Georgia"/>
          <w:b/>
          <w:color w:val="C9A042"/>
          <w:spacing w:val="0"/>
          <w:position w:val="0"/>
          <w:sz w:val="24"/>
          <w:shd w:fill="auto" w:val="clear"/>
        </w:rPr>
      </w:pPr>
      <w:r>
        <w:rPr>
          <w:rFonts w:ascii="Georgia" w:hAnsi="Georgia" w:cs="Georgia" w:eastAsia="Georgia"/>
          <w:b/>
          <w:color w:val="C9A042"/>
          <w:spacing w:val="0"/>
          <w:position w:val="0"/>
          <w:sz w:val="24"/>
          <w:shd w:fill="auto" w:val="clear"/>
        </w:rPr>
        <w:t xml:space="preserve">3.4 Consent</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Legal basis: explicit consent (Art. 6.1.a GDPR). For newsletters or marketing communications not directly related to the contracted service, we will request your express consent.</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4. Data Retention</w:t>
      </w:r>
    </w:p>
    <w:p>
      <w:pPr>
        <w:numPr>
          <w:ilvl w:val="0"/>
          <w:numId w:val="27"/>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Client and contractual data: for the duration of the contract and 5 years thereafter</w:t>
      </w:r>
    </w:p>
    <w:p>
      <w:pPr>
        <w:numPr>
          <w:ilvl w:val="0"/>
          <w:numId w:val="27"/>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Tax and accounting records: 6 years in accordance with Spanish tax law</w:t>
      </w:r>
    </w:p>
    <w:p>
      <w:pPr>
        <w:numPr>
          <w:ilvl w:val="0"/>
          <w:numId w:val="27"/>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Marketing communications: until you withdraw consent</w:t>
      </w:r>
    </w:p>
    <w:p>
      <w:pPr>
        <w:numPr>
          <w:ilvl w:val="0"/>
          <w:numId w:val="27"/>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Photographic records and property reports: up to 2 years after service termination, unless earlier deletion is requested</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5. Data Recipients</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We do not share your data with third parties except in the following cases:</w:t>
      </w:r>
    </w:p>
    <w:p>
      <w:pPr>
        <w:numPr>
          <w:ilvl w:val="0"/>
          <w:numId w:val="31"/>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Technology service providers (hosting, email, payment tools) acting as data processors under confidentiality agreements</w:t>
      </w:r>
    </w:p>
    <w:p>
      <w:pPr>
        <w:numPr>
          <w:ilvl w:val="0"/>
          <w:numId w:val="31"/>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Public authorities when required by law</w:t>
      </w:r>
    </w:p>
    <w:p>
      <w:pPr>
        <w:numPr>
          <w:ilvl w:val="0"/>
          <w:numId w:val="31"/>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Independent tradespeople (plumbers, electricians, locksmiths) to the extent strictly necessary to coordinate repairs, with your prior knowledge</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We do not transfer data outside the European Economic Area.</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6. Your Rights</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As a data subject, you have the right to:</w:t>
      </w:r>
    </w:p>
    <w:p>
      <w:pPr>
        <w:numPr>
          <w:ilvl w:val="0"/>
          <w:numId w:val="36"/>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Access: obtain confirmation of whether we process your data and access it</w:t>
      </w:r>
    </w:p>
    <w:p>
      <w:pPr>
        <w:numPr>
          <w:ilvl w:val="0"/>
          <w:numId w:val="36"/>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Rectification: correct inaccurate or incomplete data</w:t>
      </w:r>
    </w:p>
    <w:p>
      <w:pPr>
        <w:numPr>
          <w:ilvl w:val="0"/>
          <w:numId w:val="36"/>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Erasure ('right to be forgotten'): request deletion when data is no longer necessary</w:t>
      </w:r>
    </w:p>
    <w:p>
      <w:pPr>
        <w:numPr>
          <w:ilvl w:val="0"/>
          <w:numId w:val="36"/>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Restriction: request that we restrict processing of your data</w:t>
      </w:r>
    </w:p>
    <w:p>
      <w:pPr>
        <w:numPr>
          <w:ilvl w:val="0"/>
          <w:numId w:val="36"/>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Portability: receive your data in a structured, machine-readable format</w:t>
      </w:r>
    </w:p>
    <w:p>
      <w:pPr>
        <w:numPr>
          <w:ilvl w:val="0"/>
          <w:numId w:val="36"/>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Objection: object to processing based on legitimate interests or for direct marketing</w:t>
      </w:r>
    </w:p>
    <w:p>
      <w:pPr>
        <w:numPr>
          <w:ilvl w:val="0"/>
          <w:numId w:val="36"/>
        </w:numPr>
        <w:spacing w:before="40" w:after="6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Withdrawal of consent: at any time, without retroactive effect</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To exercise your rights, contact us at +34 627 13 98 19. You also have the right to lodge a complaint with the Spanish Data Protection Agency (</w:t>
      </w:r>
      <w:hyperlink xmlns:r="http://schemas.openxmlformats.org/officeDocument/2006/relationships" r:id="docRId2">
        <w:r>
          <w:rPr>
            <w:rFonts w:ascii="Arial" w:hAnsi="Arial" w:cs="Arial" w:eastAsia="Arial"/>
            <w:color w:val="1A1A1A"/>
            <w:spacing w:val="0"/>
            <w:position w:val="0"/>
            <w:sz w:val="22"/>
            <w:u w:val="single"/>
            <w:shd w:fill="auto" w:val="clear"/>
          </w:rPr>
          <w:t xml:space="preserve">www.aepd.es</w:t>
        </w:r>
      </w:hyperlink>
      <w:r>
        <w:rPr>
          <w:rFonts w:ascii="Arial" w:hAnsi="Arial" w:cs="Arial" w:eastAsia="Arial"/>
          <w:color w:val="1A1A1A"/>
          <w:spacing w:val="0"/>
          <w:position w:val="0"/>
          <w:sz w:val="22"/>
          <w:shd w:fill="auto" w:val="clear"/>
        </w:rPr>
        <w:t xml:space="preserve">).</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7. Security</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KeyNobles implements appropriate technical and organisational measures to ensure the security of your data and prevent its alteration, loss, unauthorised processing or access, taking into account the state of technology, the nature of the data, and the risks involved.</w:t>
      </w:r>
    </w:p>
    <w:p>
      <w:pPr>
        <w:spacing w:before="160" w:after="160" w:line="240"/>
        <w:ind w:right="0" w:left="0" w:firstLine="0"/>
        <w:jc w:val="left"/>
        <w:rPr>
          <w:rFonts w:ascii="Arial" w:hAnsi="Arial" w:cs="Arial" w:eastAsia="Arial"/>
          <w:color w:val="auto"/>
          <w:spacing w:val="0"/>
          <w:position w:val="0"/>
          <w:sz w:val="22"/>
          <w:shd w:fill="auto" w:val="clear"/>
        </w:rPr>
      </w:pPr>
    </w:p>
    <w:p>
      <w:pPr>
        <w:spacing w:before="320" w:after="120" w:line="240"/>
        <w:ind w:right="0" w:left="0" w:firstLine="0"/>
        <w:jc w:val="left"/>
        <w:rPr>
          <w:rFonts w:ascii="Georgia" w:hAnsi="Georgia" w:cs="Georgia" w:eastAsia="Georgia"/>
          <w:b/>
          <w:color w:val="0D1B2A"/>
          <w:spacing w:val="0"/>
          <w:position w:val="0"/>
          <w:sz w:val="30"/>
          <w:shd w:fill="auto" w:val="clear"/>
        </w:rPr>
      </w:pPr>
      <w:r>
        <w:rPr>
          <w:rFonts w:ascii="Georgia" w:hAnsi="Georgia" w:cs="Georgia" w:eastAsia="Georgia"/>
          <w:b/>
          <w:color w:val="0D1B2A"/>
          <w:spacing w:val="0"/>
          <w:position w:val="0"/>
          <w:sz w:val="30"/>
          <w:shd w:fill="auto" w:val="clear"/>
        </w:rPr>
        <w:t xml:space="preserve">8. Changes to this Policy</w:t>
      </w:r>
    </w:p>
    <w:p>
      <w:pPr>
        <w:spacing w:before="60" w:after="100" w:line="240"/>
        <w:ind w:right="0" w:left="0" w:firstLine="0"/>
        <w:jc w:val="both"/>
        <w:rPr>
          <w:rFonts w:ascii="Arial" w:hAnsi="Arial" w:cs="Arial" w:eastAsia="Arial"/>
          <w:color w:val="auto"/>
          <w:spacing w:val="0"/>
          <w:position w:val="0"/>
          <w:sz w:val="22"/>
          <w:shd w:fill="auto" w:val="clear"/>
        </w:rPr>
      </w:pPr>
      <w:r>
        <w:rPr>
          <w:rFonts w:ascii="Arial" w:hAnsi="Arial" w:cs="Arial" w:eastAsia="Arial"/>
          <w:color w:val="1A1A1A"/>
          <w:spacing w:val="0"/>
          <w:position w:val="0"/>
          <w:sz w:val="22"/>
          <w:shd w:fill="auto" w:val="clear"/>
        </w:rPr>
        <w:t xml:space="preserve">We reserve the right to update this Privacy Policy to reflect changes in law or our services. We will notify you of any significant changes via our website or by email.</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num w:numId="14">
    <w:abstractNumId w:val="18"/>
  </w:num>
  <w:num w:numId="27">
    <w:abstractNumId w:val="12"/>
  </w:num>
  <w:num w:numId="31">
    <w:abstractNumId w:val="6"/>
  </w:num>
  <w:num w:numId="36">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numbering.xml" Id="docRId3" Type="http://schemas.openxmlformats.org/officeDocument/2006/relationships/numbering" /><Relationship Target="embeddings/oleObject0.bin" Id="docRId0" Type="http://schemas.openxmlformats.org/officeDocument/2006/relationships/oleObject" /><Relationship TargetMode="External" Target="http://www.aepd.es/" Id="docRId2" Type="http://schemas.openxmlformats.org/officeDocument/2006/relationships/hyperlink" /><Relationship Target="styles.xml" Id="docRId4" Type="http://schemas.openxmlformats.org/officeDocument/2006/relationships/styles" /></Relationships>
</file>